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A346A" w14:paraId="4A31D7F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450E1E0" w14:textId="77777777" w:rsidR="005A346A" w:rsidRDefault="009B4D8E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DF63A92" w14:textId="77777777" w:rsidR="005A346A" w:rsidRDefault="009B4D8E">
            <w:pPr>
              <w:spacing w:after="0" w:line="240" w:lineRule="auto"/>
            </w:pPr>
            <w:r>
              <w:t>1804</w:t>
            </w:r>
          </w:p>
        </w:tc>
      </w:tr>
      <w:tr w:rsidR="005A346A" w14:paraId="02C76215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5371244" w14:textId="77777777" w:rsidR="005A346A" w:rsidRDefault="009B4D8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CC4BE5A" w14:textId="77777777" w:rsidR="005A346A" w:rsidRDefault="009B4D8E">
            <w:pPr>
              <w:spacing w:after="0" w:line="240" w:lineRule="auto"/>
            </w:pPr>
            <w:r>
              <w:t>SVEUČILIŠTE U ZAGREBU - TEKSTILNO-TEHNOLOŠKI FAKULTET</w:t>
            </w:r>
          </w:p>
        </w:tc>
      </w:tr>
      <w:tr w:rsidR="005A346A" w14:paraId="49575849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60A7BDF" w14:textId="77777777" w:rsidR="005A346A" w:rsidRDefault="009B4D8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B3EF55A" w14:textId="77777777" w:rsidR="005A346A" w:rsidRDefault="009B4D8E">
            <w:pPr>
              <w:spacing w:after="0" w:line="240" w:lineRule="auto"/>
            </w:pPr>
            <w:r>
              <w:t>11</w:t>
            </w:r>
          </w:p>
        </w:tc>
      </w:tr>
    </w:tbl>
    <w:p w14:paraId="36E2B326" w14:textId="77777777" w:rsidR="005A346A" w:rsidRDefault="009B4D8E">
      <w:r>
        <w:br/>
      </w:r>
    </w:p>
    <w:p w14:paraId="31FF8F59" w14:textId="77777777" w:rsidR="005A346A" w:rsidRDefault="009B4D8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42B1B4E" w14:textId="77777777" w:rsidR="005A346A" w:rsidRDefault="009B4D8E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4C34E3C" w14:textId="77777777" w:rsidR="005A346A" w:rsidRDefault="009B4D8E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39D37E8" w14:textId="77777777" w:rsidR="005A346A" w:rsidRDefault="005A346A"/>
    <w:p w14:paraId="4176662B" w14:textId="77777777" w:rsidR="005A346A" w:rsidRDefault="009B4D8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63A63DF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393E154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66390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F66767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E996F6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12C38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1A137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68D19B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36D9B3D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C41DB1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B3C64D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B37E4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2BD6FC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3.068.099,55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E33B04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3.131.923,10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5BEE81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102,1</w:t>
            </w:r>
          </w:p>
        </w:tc>
      </w:tr>
      <w:tr w:rsidR="005A346A" w14:paraId="72954F0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504F0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2B501D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AD5C13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B2225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2.800.265,70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DC2A7D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3.541.572,36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56D0CE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  <w:tr w:rsidR="005A346A" w14:paraId="11B74AF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063B86" w14:textId="77777777" w:rsidR="005A346A" w:rsidRDefault="005A346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267E7D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F5016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402B32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C5D06A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409.649,26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D955A4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A346A" w14:paraId="2921F8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3F67E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D416EA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7FF25C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81AE15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001C71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FF976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384,9</w:t>
            </w:r>
          </w:p>
        </w:tc>
      </w:tr>
      <w:tr w:rsidR="005A346A" w14:paraId="1E5AE97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4B633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2A406C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F64A58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8F0D61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21.699,63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00FBF0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32.911,94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CDD46C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151,7</w:t>
            </w:r>
          </w:p>
        </w:tc>
      </w:tr>
      <w:tr w:rsidR="005A346A" w14:paraId="3EDB427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BC0102" w14:textId="77777777" w:rsidR="005A346A" w:rsidRDefault="005A346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7F5DBA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3B84A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5D03F0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21.663,37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6CDF09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32.772,39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535BC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151,3</w:t>
            </w:r>
          </w:p>
        </w:tc>
      </w:tr>
      <w:tr w:rsidR="005A346A" w14:paraId="3235C66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92A36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939923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668AC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E72E44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E6BA19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E314B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346A" w14:paraId="0E7F2F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9A4E0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071373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81CFBC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B388A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84C66D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BCF13A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346A" w14:paraId="7DF37B5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544E52" w14:textId="77777777" w:rsidR="005A346A" w:rsidRDefault="005A346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4D772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E10B6E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8042F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95ECED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AF08DA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A346A" w14:paraId="04C21C6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CFCB3F" w14:textId="77777777" w:rsidR="005A346A" w:rsidRDefault="005A346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B4CF22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7B1B60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D616E1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3889E2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442.421,65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0E7C44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25C7DA15" w14:textId="77777777" w:rsidR="005A346A" w:rsidRDefault="005A346A">
      <w:pPr>
        <w:spacing w:after="0"/>
      </w:pPr>
    </w:p>
    <w:p w14:paraId="7F06227B" w14:textId="77777777" w:rsidR="005A346A" w:rsidRDefault="009B4D8E">
      <w:pPr>
        <w:spacing w:line="240" w:lineRule="auto"/>
        <w:jc w:val="both"/>
      </w:pPr>
      <w:r>
        <w:t>Znatno povećanje rashoda je rezultat povrata garancije ZABI i vraćanje procesa na prvostupanjski sud. Ostala odstupanja su uglavnom povezana s novom Uredbom o plaćama i s prevođenjem koeficijenata su porasli prihodi i rashodi. Ostala odstupanja, nisu bila značajna u novčanoj vrijednosti.</w:t>
      </w:r>
    </w:p>
    <w:p w14:paraId="2965B422" w14:textId="77777777" w:rsidR="005A346A" w:rsidRDefault="009B4D8E">
      <w:r>
        <w:br/>
      </w:r>
    </w:p>
    <w:p w14:paraId="3DBC421C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6CB42E8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410A21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E8BA6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B03C4B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05CCAE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8A1B54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769D7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44E4A59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6AC212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A4074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međunarodnih organizacija te institucija i tijela EU (šifre 6321 do 6324)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B8075B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FF22B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166.166,99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E3E600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46.195,71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FB8330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27,8</w:t>
            </w:r>
          </w:p>
        </w:tc>
      </w:tr>
    </w:tbl>
    <w:p w14:paraId="12B0C9C7" w14:textId="77777777" w:rsidR="005A346A" w:rsidRDefault="005A346A">
      <w:pPr>
        <w:spacing w:after="0"/>
      </w:pPr>
    </w:p>
    <w:p w14:paraId="233994D0" w14:textId="77777777" w:rsidR="005A346A" w:rsidRDefault="009B4D8E">
      <w:pPr>
        <w:spacing w:line="240" w:lineRule="auto"/>
        <w:jc w:val="both"/>
      </w:pPr>
      <w:r>
        <w:t>smanjenje indeksa je rezultat smanjenog broja projekata, a u istom periodu prošle godine je bila isplata po završnom ZNS-u projekta BIOKOMPOZITI i stoga je prošle godine bio znatno veći iznos.</w:t>
      </w:r>
    </w:p>
    <w:p w14:paraId="730EA7E8" w14:textId="77777777" w:rsidR="005A346A" w:rsidRDefault="005A346A"/>
    <w:p w14:paraId="144C5FE7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32F4D6B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07D4B1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7777D9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D88BC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38A6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0B5A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4CE2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6F1FAAD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DE7861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BD2722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9333F8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D8B3B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73.287,19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1343FB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3.529,43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23BD3D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4,8</w:t>
            </w:r>
          </w:p>
        </w:tc>
      </w:tr>
    </w:tbl>
    <w:p w14:paraId="2CE91614" w14:textId="77777777" w:rsidR="005A346A" w:rsidRDefault="005A346A">
      <w:pPr>
        <w:spacing w:after="0"/>
      </w:pPr>
    </w:p>
    <w:p w14:paraId="0500C460" w14:textId="77777777" w:rsidR="005A346A" w:rsidRDefault="009B4D8E">
      <w:pPr>
        <w:spacing w:line="240" w:lineRule="auto"/>
        <w:jc w:val="both"/>
      </w:pPr>
      <w:r>
        <w:t>završeni su projekti s gospodarstvom  ČATEX i RENOTEX, koji su se vodili na izvoru 61, kao donacije i stoga je index na ovoj poziciji znatno manji.</w:t>
      </w:r>
    </w:p>
    <w:p w14:paraId="097A58D1" w14:textId="77777777" w:rsidR="005A346A" w:rsidRDefault="005A346A"/>
    <w:p w14:paraId="35ADF769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36A38D6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9346F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D767F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979676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43323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DAB2BD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07BB27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550106C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37D48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9A121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4DB84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5624A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6.727,72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C9025E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505.013,94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6CB8F9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7506,5</w:t>
            </w:r>
          </w:p>
        </w:tc>
      </w:tr>
    </w:tbl>
    <w:p w14:paraId="236E6786" w14:textId="77777777" w:rsidR="005A346A" w:rsidRDefault="005A346A">
      <w:pPr>
        <w:spacing w:after="0"/>
      </w:pPr>
    </w:p>
    <w:p w14:paraId="5D8647FC" w14:textId="77777777" w:rsidR="005A346A" w:rsidRDefault="009B4D8E">
      <w:pPr>
        <w:spacing w:line="240" w:lineRule="auto"/>
        <w:jc w:val="both"/>
      </w:pPr>
      <w:r>
        <w:t>znatno povećanje indexa je rezultat povrata uplaćene garancije ZABI i vraćanja procesa na prvostupanjski sud.</w:t>
      </w:r>
    </w:p>
    <w:p w14:paraId="03847341" w14:textId="77777777" w:rsidR="005A346A" w:rsidRDefault="005A346A"/>
    <w:p w14:paraId="0B463CE3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7072DB2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A93C1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30AEF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675908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CF3217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C1804F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643C88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6A837C9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4F999B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C488C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Medicinska i laboratorijska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0205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A5C46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2.128,00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CADF7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13.877,50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5A8A96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652,1</w:t>
            </w:r>
          </w:p>
        </w:tc>
      </w:tr>
    </w:tbl>
    <w:p w14:paraId="5150E1B0" w14:textId="77777777" w:rsidR="005A346A" w:rsidRDefault="005A346A">
      <w:pPr>
        <w:spacing w:after="0"/>
      </w:pPr>
    </w:p>
    <w:p w14:paraId="26EEF56E" w14:textId="77777777" w:rsidR="005A346A" w:rsidRDefault="009B4D8E">
      <w:pPr>
        <w:spacing w:line="240" w:lineRule="auto"/>
        <w:jc w:val="both"/>
      </w:pPr>
      <w:r>
        <w:t>nabavljeno je nešto više opreme iz sredstava novog projekta INTERREG DRP020044 Green-Tex i Sveučilišne potpore istraživanjima.</w:t>
      </w:r>
    </w:p>
    <w:p w14:paraId="384A444B" w14:textId="77777777" w:rsidR="005A346A" w:rsidRDefault="005A346A"/>
    <w:p w14:paraId="142AC817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346A" w14:paraId="0CAB9B4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4AE1D6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C6B384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1DAEC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984EE6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17AC1D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2B737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033D5AF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71255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B29B67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odljevi s novčanih računa i blagajni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0909D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B8BAD7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2.871.023,40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E4A1D9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3.674.634,04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1D035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128,0</w:t>
            </w:r>
          </w:p>
        </w:tc>
      </w:tr>
    </w:tbl>
    <w:p w14:paraId="63D6B9A6" w14:textId="77777777" w:rsidR="005A346A" w:rsidRDefault="005A346A">
      <w:pPr>
        <w:spacing w:after="0"/>
      </w:pPr>
    </w:p>
    <w:p w14:paraId="3F9CF6F0" w14:textId="77777777" w:rsidR="005A346A" w:rsidRDefault="009B4D8E">
      <w:pPr>
        <w:spacing w:line="240" w:lineRule="auto"/>
        <w:jc w:val="both"/>
      </w:pPr>
      <w:r>
        <w:t>znatno veći odljev novčanih sredstava je također vezan uz vraćanje garancije ZABI.</w:t>
      </w:r>
    </w:p>
    <w:p w14:paraId="03BA39AC" w14:textId="77777777" w:rsidR="005A346A" w:rsidRDefault="005A346A"/>
    <w:p w14:paraId="1A431EDA" w14:textId="77777777" w:rsidR="005A346A" w:rsidRDefault="009B4D8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C0360D9" w14:textId="77777777" w:rsidR="005A346A" w:rsidRDefault="009B4D8E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A346A" w14:paraId="13C996F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71B88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D7FACF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DBF3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5CE5DD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EB1D22" w14:textId="77777777" w:rsidR="005A346A" w:rsidRDefault="009B4D8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346A" w14:paraId="3A1F595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B2487E" w14:textId="77777777" w:rsidR="005A346A" w:rsidRDefault="005A346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93E8C8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5626C9" w14:textId="77777777" w:rsidR="005A346A" w:rsidRDefault="009B4D8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1AB69A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33.807,79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DBF3A8" w14:textId="77777777" w:rsidR="005A346A" w:rsidRDefault="009B4D8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FB301E5" w14:textId="77777777" w:rsidR="005A346A" w:rsidRDefault="005A346A">
      <w:pPr>
        <w:spacing w:after="0"/>
      </w:pPr>
    </w:p>
    <w:p w14:paraId="715C9D3C" w14:textId="77777777" w:rsidR="005A346A" w:rsidRDefault="009B4D8E">
      <w:pPr>
        <w:spacing w:line="240" w:lineRule="auto"/>
        <w:jc w:val="both"/>
      </w:pPr>
      <w:r>
        <w:t>Manji dio dospijeća je nastao radi  nepotpune dokumentacije od strane dobavljača (nisu poslali e-račun, otpremnicu, specifikaciju i sl.), stoga se čekalo s plaćanjem. Dio prekoračenja se odnosi na naše obveze iz prethodnih razdoblja, a koja su dijelom sporna. Uglavnom se obveze namiruju u za to određenom roku.</w:t>
      </w:r>
    </w:p>
    <w:p w14:paraId="0908E7FC" w14:textId="77777777" w:rsidR="005A346A" w:rsidRDefault="005A346A"/>
    <w:sectPr w:rsidR="005A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n/ucH1J8ONgrrVj5fumLDj4tuvKHUmjkB83v3ubLHdUF4h+zBL29tzVwC/k/IRaCs9GiemiG7fizPl4mmlUEQ==" w:salt="W5zel16MV+G+e71TNs/zl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A"/>
    <w:rsid w:val="000C186C"/>
    <w:rsid w:val="005A346A"/>
    <w:rsid w:val="008155C2"/>
    <w:rsid w:val="009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0B36"/>
  <w15:docId w15:val="{56DE87C3-DF91-4944-8743-C2573DD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Marina Matušin</cp:lastModifiedBy>
  <cp:revision>3</cp:revision>
  <dcterms:created xsi:type="dcterms:W3CDTF">2025-07-10T06:50:00Z</dcterms:created>
  <dcterms:modified xsi:type="dcterms:W3CDTF">2025-07-11T11:14:00Z</dcterms:modified>
</cp:coreProperties>
</file>