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21603430b448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1804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SVEUČILIŠTE U ZAGREBU - TEKSTILNO-TEHNOLOŠKI FAKULTET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3.131.923,10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3.511.322,99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3.541.572,36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3.234.842,65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276.480,34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139,55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32.911,94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102.364,52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32.772,39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102.280,12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174.200,22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Ukupno ostvareni prihodi poslovanja za promatrano razdoblje iznosili su 3.511.322,99 eura, dok su ukupni rashodi poslovanja iznosili 3.234.842,65 eura. Povećanje prihoda dogodilo se zbog potpisanih Programskih ugovora sa Sveučilištem u Zagrebu u MZOM te uplatama koje su pristizale tijekom razdoblja. Smanjenje rashoda poslovanja rezultat je prošlogodišnjeg povrata garancije ZABI i vraćanje procesa na prvostupanjski sud.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98.421,23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Manji dio dospijeća je nastao radi nepotpune dokumentacije od strane dobavljača (nisu poslali e-račun, otpremnicu, specifikaciju i sl.), stoga se čekalo s plaćanjem. Dio prekoračenja se odnosi na smanjen kapacitet radnika u Računovodstvu zbog čega neki računi stoje s plaćanjem. Uglavnom se obveze namiruju u za to određenom roku.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Prihodi se većim dijelom odnose na Erasmus+ projekt Aqualize4tcl te mobilnosti nastavnika. Rashodi se na izvoru 510 odnose na Erasmus+ projekte Aqualize4tcl, Shoepro, ICT-Tex te mobilnosti nastavnika, dok se na izvoru 563 odnose na Interreg projekt Green-Tex.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bc3f81537b4043" /></Relationships>
</file>